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4C" w:rsidRDefault="00CC5C78">
      <w:pPr>
        <w:spacing w:line="800" w:lineRule="exact"/>
        <w:jc w:val="center"/>
        <w:rPr>
          <w:rFonts w:ascii="宋体" w:hAnsi="宋体"/>
          <w:b/>
          <w:color w:val="404040" w:themeColor="text1" w:themeTint="BF"/>
          <w:sz w:val="32"/>
          <w:szCs w:val="32"/>
        </w:rPr>
      </w:pPr>
      <w:r>
        <w:rPr>
          <w:rFonts w:ascii="宋体" w:hAnsi="宋体" w:hint="eastAsia"/>
          <w:b/>
          <w:color w:val="404040" w:themeColor="text1" w:themeTint="BF"/>
          <w:sz w:val="32"/>
          <w:szCs w:val="32"/>
        </w:rPr>
        <w:t>实验室安全管理咨询服务项目用户需求</w:t>
      </w:r>
    </w:p>
    <w:p w:rsidR="001B224C" w:rsidRDefault="00CC5C78">
      <w:pPr>
        <w:spacing w:line="800" w:lineRule="exact"/>
        <w:jc w:val="center"/>
        <w:rPr>
          <w:rFonts w:ascii="宋体" w:hAnsi="宋体"/>
          <w:b/>
          <w:color w:val="404040" w:themeColor="text1" w:themeTint="BF"/>
          <w:sz w:val="28"/>
          <w:szCs w:val="28"/>
        </w:rPr>
      </w:pPr>
      <w:r>
        <w:rPr>
          <w:rFonts w:ascii="宋体" w:hAnsi="宋体" w:hint="eastAsia"/>
          <w:b/>
          <w:color w:val="404040" w:themeColor="text1" w:themeTint="BF"/>
          <w:sz w:val="28"/>
          <w:szCs w:val="28"/>
        </w:rPr>
        <w:t>第一部分 商务需求书（供应商资格要求）</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5"/>
        <w:gridCol w:w="1523"/>
        <w:gridCol w:w="6274"/>
      </w:tblGrid>
      <w:tr w:rsidR="001B224C">
        <w:trPr>
          <w:trHeight w:val="812"/>
          <w:jc w:val="center"/>
        </w:trPr>
        <w:tc>
          <w:tcPr>
            <w:tcW w:w="725" w:type="dxa"/>
            <w:shd w:val="clear" w:color="auto" w:fill="auto"/>
            <w:vAlign w:val="center"/>
          </w:tcPr>
          <w:p w:rsidR="001B224C" w:rsidRDefault="00CC5C78">
            <w:pPr>
              <w:spacing w:line="380" w:lineRule="exact"/>
              <w:jc w:val="center"/>
              <w:rPr>
                <w:rFonts w:ascii="宋体" w:hAnsi="宋体"/>
                <w:color w:val="404040" w:themeColor="text1" w:themeTint="BF"/>
                <w:sz w:val="22"/>
                <w:szCs w:val="22"/>
              </w:rPr>
            </w:pPr>
            <w:r>
              <w:rPr>
                <w:rFonts w:ascii="宋体" w:hAnsi="宋体" w:hint="eastAsia"/>
                <w:color w:val="404040" w:themeColor="text1" w:themeTint="BF"/>
                <w:sz w:val="22"/>
                <w:szCs w:val="22"/>
              </w:rPr>
              <w:t>序号</w:t>
            </w:r>
          </w:p>
        </w:tc>
        <w:tc>
          <w:tcPr>
            <w:tcW w:w="1523" w:type="dxa"/>
            <w:shd w:val="clear" w:color="auto" w:fill="auto"/>
            <w:vAlign w:val="center"/>
          </w:tcPr>
          <w:p w:rsidR="001B224C" w:rsidRDefault="00CC5C78">
            <w:pPr>
              <w:spacing w:line="380" w:lineRule="exact"/>
              <w:jc w:val="center"/>
              <w:rPr>
                <w:rFonts w:ascii="宋体" w:hAnsi="宋体"/>
                <w:color w:val="404040" w:themeColor="text1" w:themeTint="BF"/>
                <w:sz w:val="22"/>
                <w:szCs w:val="22"/>
              </w:rPr>
            </w:pPr>
            <w:r>
              <w:rPr>
                <w:rFonts w:ascii="宋体" w:hAnsi="宋体" w:hint="eastAsia"/>
                <w:color w:val="404040" w:themeColor="text1" w:themeTint="BF"/>
                <w:sz w:val="22"/>
                <w:szCs w:val="22"/>
              </w:rPr>
              <w:t>条款名称</w:t>
            </w:r>
          </w:p>
        </w:tc>
        <w:tc>
          <w:tcPr>
            <w:tcW w:w="6274" w:type="dxa"/>
            <w:shd w:val="clear" w:color="auto" w:fill="auto"/>
            <w:vAlign w:val="center"/>
          </w:tcPr>
          <w:p w:rsidR="001B224C" w:rsidRDefault="00CC5C78">
            <w:pPr>
              <w:spacing w:line="380" w:lineRule="exact"/>
              <w:jc w:val="center"/>
              <w:rPr>
                <w:rFonts w:ascii="宋体" w:hAnsi="宋体"/>
                <w:color w:val="404040" w:themeColor="text1" w:themeTint="BF"/>
                <w:sz w:val="22"/>
                <w:szCs w:val="22"/>
              </w:rPr>
            </w:pPr>
            <w:r>
              <w:rPr>
                <w:rFonts w:ascii="宋体" w:hAnsi="宋体"/>
                <w:color w:val="404040" w:themeColor="text1" w:themeTint="BF"/>
                <w:sz w:val="22"/>
                <w:szCs w:val="22"/>
              </w:rPr>
              <w:t>说</w:t>
            </w:r>
            <w:r>
              <w:rPr>
                <w:rFonts w:ascii="宋体" w:hAnsi="宋体" w:hint="eastAsia"/>
                <w:color w:val="404040" w:themeColor="text1" w:themeTint="BF"/>
                <w:sz w:val="22"/>
                <w:szCs w:val="22"/>
              </w:rPr>
              <w:t xml:space="preserve">  </w:t>
            </w:r>
            <w:r>
              <w:rPr>
                <w:rFonts w:ascii="宋体" w:hAnsi="宋体"/>
                <w:color w:val="404040" w:themeColor="text1" w:themeTint="BF"/>
                <w:sz w:val="22"/>
                <w:szCs w:val="22"/>
              </w:rPr>
              <w:t>明</w:t>
            </w:r>
          </w:p>
        </w:tc>
      </w:tr>
      <w:tr w:rsidR="001B224C" w:rsidRPr="008659E1">
        <w:trPr>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1</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合格投标人</w:t>
            </w:r>
          </w:p>
        </w:tc>
        <w:tc>
          <w:tcPr>
            <w:tcW w:w="6274" w:type="dxa"/>
            <w:shd w:val="clear" w:color="auto" w:fill="auto"/>
            <w:vAlign w:val="center"/>
          </w:tcPr>
          <w:p w:rsidR="001B224C" w:rsidRPr="008659E1" w:rsidRDefault="00CC5C78">
            <w:pPr>
              <w:numPr>
                <w:ilvl w:val="0"/>
                <w:numId w:val="1"/>
              </w:numPr>
              <w:spacing w:line="380" w:lineRule="exact"/>
              <w:rPr>
                <w:rFonts w:ascii="宋体"/>
                <w:color w:val="404040" w:themeColor="text1" w:themeTint="BF"/>
                <w:sz w:val="22"/>
                <w:szCs w:val="22"/>
              </w:rPr>
            </w:pPr>
            <w:r w:rsidRPr="008659E1">
              <w:rPr>
                <w:rFonts w:ascii="宋体" w:hint="eastAsia"/>
                <w:color w:val="404040" w:themeColor="text1" w:themeTint="BF"/>
                <w:sz w:val="22"/>
                <w:szCs w:val="22"/>
              </w:rPr>
              <w:t>投标人须为在中华人民共和国境内登记注册的具有独立承担民事责任能力的法人；注册地在东莞。</w:t>
            </w:r>
          </w:p>
          <w:p w:rsidR="001B224C" w:rsidRPr="008659E1" w:rsidRDefault="00CC5C78">
            <w:pPr>
              <w:numPr>
                <w:ilvl w:val="0"/>
                <w:numId w:val="1"/>
              </w:numPr>
              <w:spacing w:line="380" w:lineRule="exact"/>
              <w:rPr>
                <w:rFonts w:ascii="宋体"/>
                <w:color w:val="404040" w:themeColor="text1" w:themeTint="BF"/>
                <w:sz w:val="22"/>
                <w:szCs w:val="22"/>
              </w:rPr>
            </w:pPr>
            <w:r w:rsidRPr="008659E1">
              <w:rPr>
                <w:rFonts w:ascii="宋体" w:hint="eastAsia"/>
                <w:color w:val="404040" w:themeColor="text1" w:themeTint="BF"/>
                <w:sz w:val="22"/>
                <w:szCs w:val="22"/>
              </w:rPr>
              <w:t>符合《中华人民共和国政府采购法》第二十二条的规定；</w:t>
            </w:r>
          </w:p>
          <w:p w:rsidR="001B224C" w:rsidRPr="008659E1" w:rsidRDefault="00CC5C78">
            <w:pPr>
              <w:numPr>
                <w:ilvl w:val="0"/>
                <w:numId w:val="1"/>
              </w:numPr>
              <w:spacing w:line="380" w:lineRule="exact"/>
              <w:rPr>
                <w:rFonts w:ascii="宋体" w:hAnsi="宋体" w:hint="eastAsia"/>
                <w:color w:val="404040" w:themeColor="text1" w:themeTint="BF"/>
                <w:sz w:val="22"/>
                <w:szCs w:val="22"/>
              </w:rPr>
            </w:pPr>
            <w:r w:rsidRPr="008659E1">
              <w:rPr>
                <w:rFonts w:ascii="宋体" w:hint="eastAsia"/>
                <w:color w:val="404040" w:themeColor="text1" w:themeTint="BF"/>
                <w:sz w:val="22"/>
                <w:szCs w:val="22"/>
              </w:rPr>
              <w:t>投标人必须具备3名以上注册安全工程师。安全评价师1名（熟悉化工专业</w:t>
            </w:r>
            <w:bookmarkStart w:id="0" w:name="_GoBack"/>
            <w:bookmarkEnd w:id="0"/>
            <w:r w:rsidRPr="008659E1">
              <w:rPr>
                <w:rFonts w:ascii="宋体" w:hint="eastAsia"/>
                <w:color w:val="404040" w:themeColor="text1" w:themeTint="BF"/>
                <w:sz w:val="22"/>
                <w:szCs w:val="22"/>
              </w:rPr>
              <w:t>）、安全培训教员证2名。</w:t>
            </w:r>
          </w:p>
          <w:p w:rsidR="00E6784C" w:rsidRPr="008659E1" w:rsidRDefault="00E6784C" w:rsidP="00E6784C">
            <w:pPr>
              <w:numPr>
                <w:ilvl w:val="0"/>
                <w:numId w:val="1"/>
              </w:numPr>
              <w:spacing w:line="380" w:lineRule="exact"/>
              <w:rPr>
                <w:rFonts w:ascii="宋体" w:hAnsi="宋体"/>
                <w:color w:val="404040" w:themeColor="text1" w:themeTint="BF"/>
                <w:sz w:val="22"/>
                <w:szCs w:val="22"/>
              </w:rPr>
            </w:pPr>
            <w:r w:rsidRPr="008659E1">
              <w:rPr>
                <w:rFonts w:ascii="宋体" w:hint="eastAsia"/>
                <w:color w:val="404040" w:themeColor="text1" w:themeTint="BF"/>
                <w:sz w:val="22"/>
                <w:szCs w:val="22"/>
              </w:rPr>
              <w:t>本项目不接受联合体投标。</w:t>
            </w:r>
          </w:p>
        </w:tc>
      </w:tr>
      <w:tr w:rsidR="001B224C" w:rsidRPr="008659E1">
        <w:trPr>
          <w:trHeight w:val="1282"/>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2</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服务期</w:t>
            </w:r>
          </w:p>
        </w:tc>
        <w:tc>
          <w:tcPr>
            <w:tcW w:w="6274"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合同服务期为一年，签订有效期内，根据甲方要求，完成相关工作。</w:t>
            </w:r>
          </w:p>
        </w:tc>
      </w:tr>
      <w:tr w:rsidR="001B224C" w:rsidRPr="008659E1">
        <w:trPr>
          <w:trHeight w:val="1080"/>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3</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服务地点</w:t>
            </w:r>
          </w:p>
        </w:tc>
        <w:tc>
          <w:tcPr>
            <w:tcW w:w="6274" w:type="dxa"/>
            <w:shd w:val="clear" w:color="auto" w:fill="auto"/>
            <w:vAlign w:val="center"/>
          </w:tcPr>
          <w:p w:rsidR="001B224C" w:rsidRPr="008659E1" w:rsidRDefault="00E6784C">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东莞理工学院松山湖校区（</w:t>
            </w:r>
            <w:r w:rsidR="00CC5C78" w:rsidRPr="008659E1">
              <w:rPr>
                <w:rFonts w:ascii="宋体" w:hAnsi="宋体" w:hint="eastAsia"/>
                <w:color w:val="404040" w:themeColor="text1" w:themeTint="BF"/>
                <w:sz w:val="22"/>
                <w:szCs w:val="22"/>
              </w:rPr>
              <w:t>采购人指定地点</w:t>
            </w:r>
            <w:r w:rsidRPr="008659E1">
              <w:rPr>
                <w:rFonts w:ascii="宋体" w:hAnsi="宋体" w:hint="eastAsia"/>
                <w:color w:val="404040" w:themeColor="text1" w:themeTint="BF"/>
                <w:sz w:val="22"/>
                <w:szCs w:val="22"/>
              </w:rPr>
              <w:t>）</w:t>
            </w:r>
          </w:p>
        </w:tc>
      </w:tr>
      <w:tr w:rsidR="001B224C" w:rsidRPr="008659E1">
        <w:trPr>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4</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付款</w:t>
            </w:r>
          </w:p>
        </w:tc>
        <w:tc>
          <w:tcPr>
            <w:tcW w:w="6274"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按进度付款。</w:t>
            </w:r>
          </w:p>
        </w:tc>
      </w:tr>
      <w:tr w:rsidR="001B224C" w:rsidRPr="008659E1">
        <w:trPr>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5</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报价内容</w:t>
            </w:r>
          </w:p>
        </w:tc>
        <w:tc>
          <w:tcPr>
            <w:tcW w:w="6274" w:type="dxa"/>
            <w:shd w:val="clear" w:color="auto" w:fill="auto"/>
            <w:vAlign w:val="center"/>
          </w:tcPr>
          <w:p w:rsidR="001B224C" w:rsidRPr="008659E1" w:rsidRDefault="00CC5C78">
            <w:pPr>
              <w:spacing w:line="380" w:lineRule="exact"/>
              <w:ind w:right="25"/>
              <w:rPr>
                <w:rFonts w:ascii="宋体"/>
                <w:color w:val="404040" w:themeColor="text1" w:themeTint="BF"/>
                <w:sz w:val="22"/>
                <w:szCs w:val="22"/>
              </w:rPr>
            </w:pPr>
            <w:r w:rsidRPr="008659E1">
              <w:rPr>
                <w:rFonts w:ascii="宋体" w:hint="eastAsia"/>
                <w:color w:val="404040" w:themeColor="text1" w:themeTint="BF"/>
                <w:sz w:val="22"/>
                <w:szCs w:val="22"/>
              </w:rPr>
              <w:t>报价应包含项目全部内容的费用（交通费、食宿费、工作人员薪酬、检测分析费、资料费等不可预见的费用及税金等项目管理及运作的所有费用）。</w:t>
            </w:r>
          </w:p>
        </w:tc>
      </w:tr>
      <w:tr w:rsidR="001B224C" w:rsidRPr="008659E1">
        <w:trPr>
          <w:trHeight w:val="1488"/>
          <w:jc w:val="center"/>
        </w:trPr>
        <w:tc>
          <w:tcPr>
            <w:tcW w:w="725" w:type="dxa"/>
            <w:shd w:val="clear" w:color="auto" w:fill="auto"/>
            <w:vAlign w:val="center"/>
          </w:tcPr>
          <w:p w:rsidR="001B224C" w:rsidRPr="008659E1" w:rsidRDefault="00CC5C78">
            <w:pPr>
              <w:spacing w:line="380" w:lineRule="exact"/>
              <w:jc w:val="center"/>
              <w:rPr>
                <w:rFonts w:ascii="宋体" w:hAnsi="宋体"/>
                <w:color w:val="404040" w:themeColor="text1" w:themeTint="BF"/>
                <w:sz w:val="22"/>
                <w:szCs w:val="22"/>
              </w:rPr>
            </w:pPr>
            <w:r w:rsidRPr="008659E1">
              <w:rPr>
                <w:rFonts w:ascii="宋体" w:hAnsi="宋体" w:hint="eastAsia"/>
                <w:color w:val="404040" w:themeColor="text1" w:themeTint="BF"/>
                <w:sz w:val="22"/>
                <w:szCs w:val="22"/>
              </w:rPr>
              <w:t>6</w:t>
            </w:r>
          </w:p>
        </w:tc>
        <w:tc>
          <w:tcPr>
            <w:tcW w:w="1523"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合同条款</w:t>
            </w:r>
          </w:p>
        </w:tc>
        <w:tc>
          <w:tcPr>
            <w:tcW w:w="6274" w:type="dxa"/>
            <w:shd w:val="clear" w:color="auto" w:fill="auto"/>
            <w:vAlign w:val="center"/>
          </w:tcPr>
          <w:p w:rsidR="001B224C" w:rsidRPr="008659E1" w:rsidRDefault="00CC5C78">
            <w:pPr>
              <w:spacing w:line="380" w:lineRule="exact"/>
              <w:rPr>
                <w:rFonts w:ascii="宋体" w:hAnsi="宋体"/>
                <w:color w:val="404040" w:themeColor="text1" w:themeTint="BF"/>
                <w:sz w:val="22"/>
                <w:szCs w:val="22"/>
              </w:rPr>
            </w:pPr>
            <w:r w:rsidRPr="008659E1">
              <w:rPr>
                <w:rFonts w:ascii="宋体" w:hAnsi="宋体" w:hint="eastAsia"/>
                <w:color w:val="404040" w:themeColor="text1" w:themeTint="BF"/>
                <w:sz w:val="22"/>
                <w:szCs w:val="22"/>
              </w:rPr>
              <w:t>一经投标，则视为投标人实质响应上述所有条款。</w:t>
            </w:r>
          </w:p>
        </w:tc>
      </w:tr>
    </w:tbl>
    <w:p w:rsidR="001B224C" w:rsidRPr="008659E1" w:rsidRDefault="001B224C"/>
    <w:p w:rsidR="001B224C" w:rsidRPr="008659E1" w:rsidRDefault="001B224C"/>
    <w:p w:rsidR="001B224C" w:rsidRPr="008659E1" w:rsidRDefault="001B224C"/>
    <w:p w:rsidR="00E6784C" w:rsidRPr="008659E1" w:rsidRDefault="00CC5C78">
      <w:pPr>
        <w:rPr>
          <w:rFonts w:hint="eastAsia"/>
        </w:rPr>
      </w:pPr>
      <w:r w:rsidRPr="008659E1">
        <w:rPr>
          <w:rFonts w:hint="eastAsia"/>
        </w:rPr>
        <w:t xml:space="preserve">                        </w:t>
      </w:r>
    </w:p>
    <w:p w:rsidR="00E6784C" w:rsidRPr="008659E1" w:rsidRDefault="00E6784C">
      <w:pPr>
        <w:rPr>
          <w:rFonts w:hint="eastAsia"/>
        </w:rPr>
      </w:pPr>
    </w:p>
    <w:p w:rsidR="00E6784C" w:rsidRPr="008659E1" w:rsidRDefault="00E6784C">
      <w:pPr>
        <w:rPr>
          <w:rFonts w:hint="eastAsia"/>
        </w:rPr>
      </w:pPr>
    </w:p>
    <w:p w:rsidR="00E6784C" w:rsidRPr="008659E1" w:rsidRDefault="00E6784C">
      <w:pPr>
        <w:rPr>
          <w:rFonts w:hint="eastAsia"/>
        </w:rPr>
      </w:pPr>
    </w:p>
    <w:p w:rsidR="00E6784C" w:rsidRPr="008659E1" w:rsidRDefault="00E6784C">
      <w:pPr>
        <w:rPr>
          <w:rFonts w:hint="eastAsia"/>
        </w:rPr>
      </w:pPr>
    </w:p>
    <w:p w:rsidR="00E6784C" w:rsidRPr="008659E1" w:rsidRDefault="00E6784C">
      <w:pPr>
        <w:rPr>
          <w:rFonts w:hint="eastAsia"/>
        </w:rPr>
      </w:pPr>
    </w:p>
    <w:p w:rsidR="00E6784C" w:rsidRPr="008659E1" w:rsidRDefault="00E6784C">
      <w:pPr>
        <w:rPr>
          <w:rFonts w:hint="eastAsia"/>
        </w:rPr>
      </w:pPr>
    </w:p>
    <w:p w:rsidR="00E6784C" w:rsidRPr="008659E1" w:rsidRDefault="00E6784C" w:rsidP="00E6784C">
      <w:pPr>
        <w:rPr>
          <w:rFonts w:hint="eastAsia"/>
        </w:rPr>
      </w:pPr>
    </w:p>
    <w:p w:rsidR="001B224C" w:rsidRPr="008659E1" w:rsidRDefault="00CC5C78" w:rsidP="00E6784C">
      <w:pPr>
        <w:jc w:val="center"/>
        <w:rPr>
          <w:b/>
          <w:bCs/>
          <w:sz w:val="28"/>
          <w:szCs w:val="28"/>
        </w:rPr>
      </w:pPr>
      <w:r w:rsidRPr="008659E1">
        <w:rPr>
          <w:rFonts w:hint="eastAsia"/>
          <w:b/>
          <w:bCs/>
          <w:sz w:val="28"/>
          <w:szCs w:val="28"/>
        </w:rPr>
        <w:lastRenderedPageBreak/>
        <w:t>第二部份技术需求</w:t>
      </w:r>
    </w:p>
    <w:p w:rsidR="001B224C" w:rsidRPr="008659E1" w:rsidRDefault="001B224C">
      <w:pPr>
        <w:rPr>
          <w:sz w:val="30"/>
          <w:szCs w:val="30"/>
        </w:rPr>
      </w:pPr>
    </w:p>
    <w:p w:rsidR="001B224C" w:rsidRPr="008659E1" w:rsidRDefault="00CC5C78" w:rsidP="00E6784C">
      <w:pPr>
        <w:pStyle w:val="1"/>
        <w:numPr>
          <w:ilvl w:val="0"/>
          <w:numId w:val="2"/>
        </w:numPr>
        <w:ind w:firstLineChars="0"/>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对实验室安全进行检查</w:t>
      </w:r>
    </w:p>
    <w:p w:rsidR="001B224C" w:rsidRPr="008659E1" w:rsidRDefault="00CC5C78">
      <w:pPr>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（一）、检查范围及时间</w:t>
      </w:r>
    </w:p>
    <w:p w:rsidR="001B224C" w:rsidRPr="008659E1" w:rsidRDefault="00CC5C78">
      <w:pPr>
        <w:ind w:firstLine="600"/>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1、对学校全部实验室（共176间）排查风险点一次，要求在2017年6月至7月初完成。</w:t>
      </w:r>
    </w:p>
    <w:p w:rsidR="001B224C" w:rsidRPr="008659E1" w:rsidRDefault="00CC5C78">
      <w:pPr>
        <w:ind w:firstLine="600"/>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2、对生态环境与建筑工程学院、机械工程学院、化学工程与能源技术学院等几个学院的重点实验室每学期进行一次有针对性的检查。</w:t>
      </w:r>
    </w:p>
    <w:p w:rsidR="001B224C" w:rsidRPr="008659E1" w:rsidRDefault="00CC5C78">
      <w:pPr>
        <w:ind w:firstLine="600"/>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3、根据我校的要求，安排相应的技术力量与人员，协助学校迎接上级部门相关检查。</w:t>
      </w:r>
    </w:p>
    <w:p w:rsidR="001B224C" w:rsidRPr="008659E1" w:rsidRDefault="00CC5C78">
      <w:pPr>
        <w:ind w:firstLine="600"/>
        <w:rPr>
          <w:rFonts w:asciiTheme="minorEastAsia" w:eastAsiaTheme="minorEastAsia" w:hAnsiTheme="minorEastAsia" w:cstheme="minorEastAsia"/>
          <w:b/>
          <w:bCs/>
          <w:sz w:val="28"/>
          <w:szCs w:val="28"/>
        </w:rPr>
      </w:pPr>
      <w:r w:rsidRPr="008659E1">
        <w:rPr>
          <w:rFonts w:asciiTheme="minorEastAsia" w:eastAsiaTheme="minorEastAsia" w:hAnsiTheme="minorEastAsia" w:cstheme="minorEastAsia" w:hint="eastAsia"/>
          <w:b/>
          <w:bCs/>
          <w:sz w:val="28"/>
          <w:szCs w:val="28"/>
        </w:rPr>
        <w:t>以上要求有相关图片、有详细排查报告及整改建议</w:t>
      </w:r>
      <w:r w:rsidR="00E6784C" w:rsidRPr="008659E1">
        <w:rPr>
          <w:rFonts w:asciiTheme="minorEastAsia" w:eastAsiaTheme="minorEastAsia" w:hAnsiTheme="minorEastAsia" w:cstheme="minorEastAsia" w:hint="eastAsia"/>
          <w:b/>
          <w:bCs/>
          <w:sz w:val="28"/>
          <w:szCs w:val="28"/>
        </w:rPr>
        <w:t>及报告</w:t>
      </w:r>
      <w:r w:rsidRPr="008659E1">
        <w:rPr>
          <w:rFonts w:asciiTheme="minorEastAsia" w:eastAsiaTheme="minorEastAsia" w:hAnsiTheme="minorEastAsia" w:cstheme="minorEastAsia" w:hint="eastAsia"/>
          <w:b/>
          <w:bCs/>
          <w:sz w:val="28"/>
          <w:szCs w:val="28"/>
        </w:rPr>
        <w:t>。</w:t>
      </w:r>
    </w:p>
    <w:p w:rsidR="001B224C" w:rsidRPr="008659E1" w:rsidRDefault="00CC5C78">
      <w:pPr>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（二）、检查要达到的目标及标准和内容</w:t>
      </w:r>
    </w:p>
    <w:p w:rsidR="001B224C" w:rsidRPr="008659E1" w:rsidRDefault="00CC5C78">
      <w:pPr>
        <w:spacing w:line="360" w:lineRule="auto"/>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 xml:space="preserve">    </w:t>
      </w:r>
      <w:r w:rsidRPr="008659E1">
        <w:rPr>
          <w:rFonts w:asciiTheme="minorEastAsia" w:eastAsiaTheme="minorEastAsia" w:hAnsiTheme="minorEastAsia" w:cstheme="minorEastAsia" w:hint="eastAsia"/>
          <w:b/>
          <w:bCs/>
          <w:sz w:val="28"/>
          <w:szCs w:val="28"/>
        </w:rPr>
        <w:t xml:space="preserve"> 目标：</w:t>
      </w:r>
    </w:p>
    <w:p w:rsidR="001B224C" w:rsidRDefault="00CC5C78" w:rsidP="00CC5C78">
      <w:pPr>
        <w:spacing w:line="360" w:lineRule="auto"/>
        <w:ind w:firstLineChars="200" w:firstLine="560"/>
        <w:rPr>
          <w:rFonts w:asciiTheme="minorEastAsia" w:eastAsiaTheme="minorEastAsia" w:hAnsiTheme="minorEastAsia" w:cstheme="minorEastAsia"/>
          <w:sz w:val="28"/>
          <w:szCs w:val="28"/>
        </w:rPr>
      </w:pPr>
      <w:r w:rsidRPr="008659E1">
        <w:rPr>
          <w:rFonts w:asciiTheme="minorEastAsia" w:eastAsiaTheme="minorEastAsia" w:hAnsiTheme="minorEastAsia" w:cstheme="minorEastAsia" w:hint="eastAsia"/>
          <w:sz w:val="28"/>
          <w:szCs w:val="28"/>
        </w:rPr>
        <w:t>1、通过组织专业人员检查，针对实验室排查整治一批事故隐患，提高重点实验室工作人员的隐患排查技能和安全管理水平，</w:t>
      </w:r>
      <w:r>
        <w:rPr>
          <w:rFonts w:asciiTheme="minorEastAsia" w:eastAsiaTheme="minorEastAsia" w:hAnsiTheme="minorEastAsia" w:cstheme="minorEastAsia" w:hint="eastAsia"/>
          <w:sz w:val="28"/>
          <w:szCs w:val="28"/>
        </w:rPr>
        <w:t>协助各学院和实验室进一步落实主体责任，提升实验室安全建设与管理水平，防范生产安全事故发生。</w:t>
      </w:r>
    </w:p>
    <w:p w:rsidR="001B224C" w:rsidRDefault="00CC5C7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2、对照广东省高校实验室安全建设与管理检查测评表（2015年修订版）的标准对我校各实验室进行测评，并出具整改报告。</w:t>
      </w:r>
    </w:p>
    <w:p w:rsidR="001B224C" w:rsidRDefault="00CC5C7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3、通过学院、重点实验室人员全程参与检查，提升监管能力水平，增强安全意识。</w:t>
      </w:r>
    </w:p>
    <w:p w:rsidR="001B224C" w:rsidRDefault="00CC5C78" w:rsidP="00CC5C78">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内容：</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主要检查实验室是否具备安全生产有关法律、法规、规章和国家标准或者行业标准规定的安全生产条件，如安全责任落实、安全基础管理、安全投入、安全培训及应急管理等。具体包括：</w:t>
      </w:r>
    </w:p>
    <w:p w:rsidR="001B224C" w:rsidRDefault="00CC5C78">
      <w:pPr>
        <w:spacing w:line="360" w:lineRule="auto"/>
        <w:ind w:leftChars="200" w:left="42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b/>
          <w:bCs/>
          <w:sz w:val="28"/>
          <w:szCs w:val="28"/>
        </w:rPr>
        <w:t xml:space="preserve">  从以下几个方面进行检测评估</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1、组织机构：分管领导、机构设置、协调机制；</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2、制度建设：规章制度、人员准入、应急预案、安全员制度、检查制度、报告制度、奖惩制度。</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3、管理监督：落实责任、检查与演练、设施维护、实验室管理、危险品管理、废弃物及用剩物处置；</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4、安全环境：建筑和设施、安全标志、安保监控；</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5、队伍建设：业务培训教材、专家队伍、安全教育；</w:t>
      </w:r>
    </w:p>
    <w:p w:rsidR="001B224C" w:rsidRDefault="00CC5C78">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6、经费保障经费投入、经费的使用等。</w:t>
      </w:r>
    </w:p>
    <w:p w:rsidR="001B224C" w:rsidRDefault="00CC5C78" w:rsidP="00CC5C7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7、依法应当检查的其他情况。</w:t>
      </w:r>
    </w:p>
    <w:p w:rsidR="001B224C" w:rsidRDefault="00CC5C7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1B224C" w:rsidRDefault="00CC5C78" w:rsidP="00CC5C78">
      <w:pPr>
        <w:ind w:firstLineChars="1000" w:firstLine="281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二、教育、培训、宣传</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通过开展实验室安全管理知识培训及应急技能实训，提高各实验室负责人、安全管理人员的安全责任意识及应急技能，提高实验室安全管理水平及应急处置能力，降低实验室安全事故的发生，保障广大师生的人身安全。</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培训对象：各实验室负责人、安全管理人员及其他实验室人员、学生等。</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具体要求：</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（一）、教育培训方面  </w:t>
      </w:r>
    </w:p>
    <w:p w:rsidR="001B224C" w:rsidRDefault="00CC5C78">
      <w:pPr>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1、请相关专家来我校进行讲座一次，专家须有一名全国高校实验室安全管理方面顶尖级的。讲座内容为实验室安全相关知识，具体题目可由招标方与专家商定。</w:t>
      </w:r>
    </w:p>
    <w:p w:rsidR="001B224C" w:rsidRDefault="00CC5C78">
      <w:pPr>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2、针对新生入学的安全常识讲义。</w:t>
      </w:r>
    </w:p>
    <w:p w:rsidR="001B224C" w:rsidRDefault="00CC5C78">
      <w:pPr>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（1）、实验室常规安全常识。</w:t>
      </w:r>
    </w:p>
    <w:p w:rsidR="001B224C" w:rsidRDefault="00CC5C78">
      <w:pPr>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（2）、安全教育考试系统的使用讲解。</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（二）、宣传方面   </w:t>
      </w:r>
    </w:p>
    <w:p w:rsidR="001B224C" w:rsidRDefault="00CC5C78">
      <w:pPr>
        <w:ind w:firstLineChars="250" w:firstLine="70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1、对我校一些重点实验室设置一些相关安全方面的宣传内容</w:t>
      </w:r>
      <w:r>
        <w:rPr>
          <w:rFonts w:asciiTheme="minorEastAsia" w:eastAsiaTheme="minorEastAsia" w:hAnsiTheme="minorEastAsia" w:cstheme="minorEastAsia" w:hint="eastAsia"/>
          <w:kern w:val="0"/>
          <w:sz w:val="28"/>
          <w:szCs w:val="28"/>
        </w:rPr>
        <w:t>一是.制作实验室安全标语（8个字）。材料：有机板底色为红色；尺寸：450mm*450mm。二是展示橱窗（10个）。材料：铝制；尺寸：800*600mm；内容设计：天津爆炸事件、清华大学事件、等宣传画。</w:t>
      </w:r>
    </w:p>
    <w:p w:rsidR="001B224C" w:rsidRDefault="00CC5C78">
      <w:pPr>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2、印刷相关的小册子，特别是新生入学时做到人手一份，预计不少于6000份。并负责发放到位。</w:t>
      </w:r>
    </w:p>
    <w:p w:rsidR="001B224C" w:rsidRDefault="001B224C">
      <w:pPr>
        <w:pStyle w:val="1"/>
        <w:ind w:firstLineChars="0" w:firstLine="0"/>
        <w:rPr>
          <w:rFonts w:asciiTheme="minorEastAsia" w:eastAsiaTheme="minorEastAsia" w:hAnsiTheme="minorEastAsia" w:cstheme="minorEastAsia"/>
          <w:sz w:val="28"/>
          <w:szCs w:val="28"/>
        </w:rPr>
      </w:pPr>
    </w:p>
    <w:p w:rsidR="001B224C" w:rsidRDefault="00CC5C78">
      <w:pPr>
        <w:pStyle w:val="1"/>
        <w:numPr>
          <w:ilvl w:val="0"/>
          <w:numId w:val="3"/>
        </w:numPr>
        <w:ind w:firstLineChars="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报价要求</w:t>
      </w:r>
    </w:p>
    <w:p w:rsidR="001B224C" w:rsidRDefault="00CC5C78">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各供应商按用户需求提供服务，标准不能低于用户需求，如有不同理解以采购方的要求为准。分项报价，参与报价单位须符合相关资质要求，一经报价视为完全认同用户要求；附资质证明材料复印件（加盖公章）。 </w:t>
      </w:r>
    </w:p>
    <w:p w:rsidR="001B224C" w:rsidRDefault="001B224C">
      <w:pPr>
        <w:ind w:firstLine="560"/>
        <w:rPr>
          <w:rFonts w:asciiTheme="minorEastAsia" w:eastAsiaTheme="minorEastAsia" w:hAnsiTheme="minorEastAsia" w:cstheme="minorEastAsia"/>
          <w:sz w:val="28"/>
          <w:szCs w:val="28"/>
        </w:rPr>
      </w:pPr>
    </w:p>
    <w:p w:rsidR="001B224C" w:rsidRDefault="001B224C">
      <w:pPr>
        <w:ind w:firstLine="560"/>
        <w:rPr>
          <w:rFonts w:asciiTheme="minorEastAsia" w:eastAsiaTheme="minorEastAsia" w:hAnsiTheme="minorEastAsia" w:cstheme="minorEastAsia"/>
          <w:sz w:val="28"/>
          <w:szCs w:val="28"/>
        </w:rPr>
      </w:pPr>
    </w:p>
    <w:p w:rsidR="001B224C" w:rsidRDefault="00CC5C78">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附报价表格式：</w:t>
      </w:r>
    </w:p>
    <w:p w:rsidR="001B224C" w:rsidRDefault="001B224C">
      <w:pPr>
        <w:ind w:firstLine="560"/>
        <w:rPr>
          <w:rFonts w:asciiTheme="minorEastAsia" w:eastAsiaTheme="minorEastAsia" w:hAnsiTheme="minorEastAsia" w:cstheme="minorEastAsia"/>
          <w:sz w:val="28"/>
          <w:szCs w:val="28"/>
        </w:rPr>
      </w:pPr>
    </w:p>
    <w:p w:rsidR="001B224C" w:rsidRDefault="00CC5C78">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color w:val="000000"/>
          <w:kern w:val="0"/>
          <w:sz w:val="28"/>
          <w:szCs w:val="28"/>
        </w:rPr>
        <w:t xml:space="preserve">                  </w:t>
      </w:r>
      <w:r>
        <w:rPr>
          <w:rFonts w:asciiTheme="minorEastAsia" w:eastAsiaTheme="minorEastAsia" w:hAnsiTheme="minorEastAsia" w:cstheme="minorEastAsia" w:hint="eastAsia"/>
          <w:b/>
          <w:bCs/>
          <w:color w:val="000000"/>
          <w:kern w:val="0"/>
          <w:sz w:val="32"/>
          <w:szCs w:val="32"/>
        </w:rPr>
        <w:t>实验室安全管理咨询报价单</w:t>
      </w:r>
    </w:p>
    <w:tbl>
      <w:tblPr>
        <w:tblStyle w:val="a6"/>
        <w:tblW w:w="8522" w:type="dxa"/>
        <w:tblLayout w:type="fixed"/>
        <w:tblLook w:val="04A0"/>
      </w:tblPr>
      <w:tblGrid>
        <w:gridCol w:w="496"/>
        <w:gridCol w:w="4815"/>
        <w:gridCol w:w="1080"/>
        <w:gridCol w:w="2131"/>
      </w:tblGrid>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序号</w:t>
            </w:r>
          </w:p>
        </w:tc>
        <w:tc>
          <w:tcPr>
            <w:tcW w:w="4815" w:type="dxa"/>
            <w:shd w:val="clear" w:color="auto" w:fill="auto"/>
            <w:vAlign w:val="center"/>
          </w:tcPr>
          <w:p w:rsidR="001B224C" w:rsidRDefault="00CC5C78">
            <w:pPr>
              <w:widowControl/>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服务内容</w:t>
            </w:r>
          </w:p>
        </w:tc>
        <w:tc>
          <w:tcPr>
            <w:tcW w:w="1080" w:type="dxa"/>
            <w:shd w:val="clear" w:color="auto" w:fill="auto"/>
            <w:vAlign w:val="center"/>
          </w:tcPr>
          <w:p w:rsidR="001B224C" w:rsidRDefault="00CC5C78">
            <w:pPr>
              <w:widowControl/>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报价（元）</w:t>
            </w:r>
          </w:p>
        </w:tc>
        <w:tc>
          <w:tcPr>
            <w:tcW w:w="2131" w:type="dxa"/>
            <w:shd w:val="clear" w:color="auto" w:fill="auto"/>
            <w:vAlign w:val="center"/>
          </w:tcPr>
          <w:p w:rsidR="001B224C" w:rsidRDefault="00CC5C78">
            <w:pPr>
              <w:widowControl/>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备注</w:t>
            </w:r>
          </w:p>
        </w:tc>
      </w:tr>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4815" w:type="dxa"/>
            <w:shd w:val="clear" w:color="auto" w:fill="auto"/>
            <w:vAlign w:val="center"/>
          </w:tcPr>
          <w:p w:rsidR="001B224C" w:rsidRDefault="00FF2CB5">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全部间</w:t>
            </w:r>
            <w:r w:rsidR="00CC5C78">
              <w:rPr>
                <w:rFonts w:asciiTheme="minorEastAsia" w:eastAsiaTheme="minorEastAsia" w:hAnsiTheme="minorEastAsia" w:cstheme="minorEastAsia" w:hint="eastAsia"/>
                <w:color w:val="000000"/>
                <w:kern w:val="0"/>
                <w:sz w:val="28"/>
                <w:szCs w:val="28"/>
              </w:rPr>
              <w:t>实验室检查1次（包含隐患排查）</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tcPr>
          <w:p w:rsidR="001B224C" w:rsidRDefault="001B224C">
            <w:pPr>
              <w:rPr>
                <w:rFonts w:asciiTheme="minorEastAsia" w:eastAsiaTheme="minorEastAsia" w:hAnsiTheme="minorEastAsia" w:cstheme="minorEastAsia"/>
                <w:sz w:val="28"/>
                <w:szCs w:val="28"/>
              </w:rPr>
            </w:pPr>
          </w:p>
        </w:tc>
      </w:tr>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每学期进行一次重点实验室排查1次</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 xml:space="preserve">　一年2次</w:t>
            </w:r>
          </w:p>
        </w:tc>
      </w:tr>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实验室安全管理讲座1次</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顶尖专家讲座</w:t>
            </w:r>
          </w:p>
        </w:tc>
      </w:tr>
      <w:tr w:rsidR="001B224C">
        <w:trPr>
          <w:trHeight w:val="758"/>
        </w:trPr>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教育培训</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新生入学安全讲座</w:t>
            </w:r>
          </w:p>
        </w:tc>
      </w:tr>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宣传标语、宣传栏共1项</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 xml:space="preserve">　一年2次</w:t>
            </w:r>
          </w:p>
        </w:tc>
      </w:tr>
      <w:tr w:rsidR="001B224C">
        <w:tc>
          <w:tcPr>
            <w:tcW w:w="496" w:type="dxa"/>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宣传小册子一批不少于6000份</w:t>
            </w:r>
          </w:p>
        </w:tc>
        <w:tc>
          <w:tcPr>
            <w:tcW w:w="1080" w:type="dxa"/>
          </w:tcPr>
          <w:p w:rsidR="001B224C" w:rsidRDefault="001B224C">
            <w:pPr>
              <w:rPr>
                <w:rFonts w:asciiTheme="minorEastAsia" w:eastAsiaTheme="minorEastAsia" w:hAnsiTheme="minorEastAsia" w:cstheme="minorEastAsia"/>
                <w:sz w:val="28"/>
                <w:szCs w:val="28"/>
              </w:rPr>
            </w:pPr>
          </w:p>
        </w:tc>
        <w:tc>
          <w:tcPr>
            <w:tcW w:w="2131"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顶尖专家讲座</w:t>
            </w:r>
          </w:p>
        </w:tc>
      </w:tr>
      <w:tr w:rsidR="001B224C">
        <w:tc>
          <w:tcPr>
            <w:tcW w:w="496" w:type="dxa"/>
          </w:tcPr>
          <w:p w:rsidR="001B224C" w:rsidRDefault="001B224C">
            <w:pPr>
              <w:rPr>
                <w:rFonts w:asciiTheme="minorEastAsia" w:eastAsiaTheme="minorEastAsia" w:hAnsiTheme="minorEastAsia" w:cstheme="minorEastAsia"/>
                <w:sz w:val="28"/>
                <w:szCs w:val="28"/>
              </w:rPr>
            </w:pPr>
          </w:p>
        </w:tc>
        <w:tc>
          <w:tcPr>
            <w:tcW w:w="4815" w:type="dxa"/>
            <w:shd w:val="clear" w:color="auto" w:fill="auto"/>
            <w:vAlign w:val="center"/>
          </w:tcPr>
          <w:p w:rsidR="001B224C" w:rsidRDefault="00CC5C7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 xml:space="preserve">      总价</w:t>
            </w:r>
          </w:p>
        </w:tc>
        <w:tc>
          <w:tcPr>
            <w:tcW w:w="3211" w:type="dxa"/>
            <w:gridSpan w:val="2"/>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（元）</w:t>
            </w:r>
          </w:p>
        </w:tc>
      </w:tr>
      <w:tr w:rsidR="001B224C">
        <w:tc>
          <w:tcPr>
            <w:tcW w:w="8522" w:type="dxa"/>
            <w:gridSpan w:val="4"/>
          </w:tcPr>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 xml:space="preserve">    报价金额大写：</w:t>
            </w:r>
          </w:p>
        </w:tc>
      </w:tr>
    </w:tbl>
    <w:p w:rsidR="001B224C" w:rsidRDefault="001B224C">
      <w:pPr>
        <w:rPr>
          <w:rFonts w:asciiTheme="minorEastAsia" w:eastAsiaTheme="minorEastAsia" w:hAnsiTheme="minorEastAsia" w:cstheme="minorEastAsia"/>
          <w:sz w:val="28"/>
          <w:szCs w:val="28"/>
        </w:rPr>
      </w:pPr>
    </w:p>
    <w:p w:rsidR="001B224C" w:rsidRDefault="00CC5C78">
      <w:pPr>
        <w:widowControl/>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报价单位（盖章）：</w:t>
      </w:r>
    </w:p>
    <w:p w:rsidR="001B224C" w:rsidRDefault="00CC5C78">
      <w:pPr>
        <w:widowControl/>
        <w:jc w:val="left"/>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color w:val="000000"/>
          <w:kern w:val="0"/>
          <w:sz w:val="28"/>
          <w:szCs w:val="28"/>
        </w:rPr>
        <w:t>联系人：</w:t>
      </w:r>
    </w:p>
    <w:p w:rsidR="001B224C" w:rsidRDefault="00CC5C7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kern w:val="0"/>
          <w:sz w:val="28"/>
          <w:szCs w:val="28"/>
        </w:rPr>
        <w:t>联系电话：                               日期：</w:t>
      </w:r>
    </w:p>
    <w:p w:rsidR="001B224C" w:rsidRDefault="00CC5C78" w:rsidP="00FF2CB5">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sectPr w:rsidR="001B224C" w:rsidSect="00DF3E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B2" w:rsidRDefault="00EE09B2" w:rsidP="00FF2CB5">
      <w:r>
        <w:separator/>
      </w:r>
    </w:p>
  </w:endnote>
  <w:endnote w:type="continuationSeparator" w:id="0">
    <w:p w:rsidR="00EE09B2" w:rsidRDefault="00EE09B2" w:rsidP="00FF2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B2" w:rsidRDefault="00EE09B2" w:rsidP="00FF2CB5">
      <w:r>
        <w:separator/>
      </w:r>
    </w:p>
  </w:footnote>
  <w:footnote w:type="continuationSeparator" w:id="0">
    <w:p w:rsidR="00EE09B2" w:rsidRDefault="00EE09B2" w:rsidP="00FF2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8AF"/>
    <w:multiLevelType w:val="multilevel"/>
    <w:tmpl w:val="0FE578AF"/>
    <w:lvl w:ilvl="0">
      <w:start w:val="3"/>
      <w:numFmt w:val="japaneseCounting"/>
      <w:lvlText w:val="%1、"/>
      <w:lvlJc w:val="left"/>
      <w:pPr>
        <w:ind w:left="3720" w:hanging="480"/>
      </w:pPr>
      <w:rPr>
        <w:rFonts w:hint="default"/>
      </w:rPr>
    </w:lvl>
    <w:lvl w:ilvl="1">
      <w:start w:val="1"/>
      <w:numFmt w:val="lowerLetter"/>
      <w:lvlText w:val="%2)"/>
      <w:lvlJc w:val="left"/>
      <w:pPr>
        <w:ind w:left="4080" w:hanging="420"/>
      </w:pPr>
    </w:lvl>
    <w:lvl w:ilvl="2">
      <w:start w:val="1"/>
      <w:numFmt w:val="lowerRoman"/>
      <w:lvlText w:val="%3."/>
      <w:lvlJc w:val="right"/>
      <w:pPr>
        <w:ind w:left="4500" w:hanging="420"/>
      </w:pPr>
    </w:lvl>
    <w:lvl w:ilvl="3">
      <w:start w:val="1"/>
      <w:numFmt w:val="decimal"/>
      <w:lvlText w:val="%4."/>
      <w:lvlJc w:val="left"/>
      <w:pPr>
        <w:ind w:left="4920" w:hanging="420"/>
      </w:pPr>
    </w:lvl>
    <w:lvl w:ilvl="4">
      <w:start w:val="1"/>
      <w:numFmt w:val="lowerLetter"/>
      <w:lvlText w:val="%5)"/>
      <w:lvlJc w:val="left"/>
      <w:pPr>
        <w:ind w:left="5340" w:hanging="420"/>
      </w:pPr>
    </w:lvl>
    <w:lvl w:ilvl="5">
      <w:start w:val="1"/>
      <w:numFmt w:val="lowerRoman"/>
      <w:lvlText w:val="%6."/>
      <w:lvlJc w:val="right"/>
      <w:pPr>
        <w:ind w:left="5760" w:hanging="420"/>
      </w:pPr>
    </w:lvl>
    <w:lvl w:ilvl="6">
      <w:start w:val="1"/>
      <w:numFmt w:val="decimal"/>
      <w:lvlText w:val="%7."/>
      <w:lvlJc w:val="left"/>
      <w:pPr>
        <w:ind w:left="6180" w:hanging="420"/>
      </w:pPr>
    </w:lvl>
    <w:lvl w:ilvl="7">
      <w:start w:val="1"/>
      <w:numFmt w:val="lowerLetter"/>
      <w:lvlText w:val="%8)"/>
      <w:lvlJc w:val="left"/>
      <w:pPr>
        <w:ind w:left="6600" w:hanging="420"/>
      </w:pPr>
    </w:lvl>
    <w:lvl w:ilvl="8">
      <w:start w:val="1"/>
      <w:numFmt w:val="lowerRoman"/>
      <w:lvlText w:val="%9."/>
      <w:lvlJc w:val="right"/>
      <w:pPr>
        <w:ind w:left="7020" w:hanging="420"/>
      </w:pPr>
    </w:lvl>
  </w:abstractNum>
  <w:abstractNum w:abstractNumId="1">
    <w:nsid w:val="652C1056"/>
    <w:multiLevelType w:val="multilevel"/>
    <w:tmpl w:val="652C1056"/>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5AF19CB"/>
    <w:multiLevelType w:val="multilevel"/>
    <w:tmpl w:val="75AF19CB"/>
    <w:lvl w:ilvl="0">
      <w:start w:val="1"/>
      <w:numFmt w:val="japaneseCounting"/>
      <w:lvlText w:val="%1、"/>
      <w:lvlJc w:val="left"/>
      <w:pPr>
        <w:ind w:left="3720" w:hanging="720"/>
      </w:pPr>
      <w:rPr>
        <w:rFonts w:hint="default"/>
      </w:rPr>
    </w:lvl>
    <w:lvl w:ilvl="1">
      <w:start w:val="1"/>
      <w:numFmt w:val="lowerLetter"/>
      <w:lvlText w:val="%2)"/>
      <w:lvlJc w:val="left"/>
      <w:pPr>
        <w:ind w:left="3840" w:hanging="420"/>
      </w:pPr>
    </w:lvl>
    <w:lvl w:ilvl="2">
      <w:start w:val="1"/>
      <w:numFmt w:val="lowerRoman"/>
      <w:lvlText w:val="%3."/>
      <w:lvlJc w:val="right"/>
      <w:pPr>
        <w:ind w:left="4260" w:hanging="420"/>
      </w:pPr>
    </w:lvl>
    <w:lvl w:ilvl="3">
      <w:start w:val="1"/>
      <w:numFmt w:val="decimal"/>
      <w:lvlText w:val="%4."/>
      <w:lvlJc w:val="left"/>
      <w:pPr>
        <w:ind w:left="4680" w:hanging="420"/>
      </w:pPr>
    </w:lvl>
    <w:lvl w:ilvl="4">
      <w:start w:val="1"/>
      <w:numFmt w:val="lowerLetter"/>
      <w:lvlText w:val="%5)"/>
      <w:lvlJc w:val="left"/>
      <w:pPr>
        <w:ind w:left="5100" w:hanging="420"/>
      </w:pPr>
    </w:lvl>
    <w:lvl w:ilvl="5">
      <w:start w:val="1"/>
      <w:numFmt w:val="lowerRoman"/>
      <w:lvlText w:val="%6."/>
      <w:lvlJc w:val="right"/>
      <w:pPr>
        <w:ind w:left="5520" w:hanging="420"/>
      </w:pPr>
    </w:lvl>
    <w:lvl w:ilvl="6">
      <w:start w:val="1"/>
      <w:numFmt w:val="decimal"/>
      <w:lvlText w:val="%7."/>
      <w:lvlJc w:val="left"/>
      <w:pPr>
        <w:ind w:left="5940" w:hanging="420"/>
      </w:pPr>
    </w:lvl>
    <w:lvl w:ilvl="7">
      <w:start w:val="1"/>
      <w:numFmt w:val="lowerLetter"/>
      <w:lvlText w:val="%8)"/>
      <w:lvlJc w:val="left"/>
      <w:pPr>
        <w:ind w:left="6360" w:hanging="420"/>
      </w:pPr>
    </w:lvl>
    <w:lvl w:ilvl="8">
      <w:start w:val="1"/>
      <w:numFmt w:val="lowerRoman"/>
      <w:lvlText w:val="%9."/>
      <w:lvlJc w:val="right"/>
      <w:pPr>
        <w:ind w:left="6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3F3"/>
    <w:rsid w:val="00007DBC"/>
    <w:rsid w:val="0004292E"/>
    <w:rsid w:val="0005585D"/>
    <w:rsid w:val="000A783C"/>
    <w:rsid w:val="000D280E"/>
    <w:rsid w:val="00152D7A"/>
    <w:rsid w:val="00154A38"/>
    <w:rsid w:val="00163F62"/>
    <w:rsid w:val="0016433C"/>
    <w:rsid w:val="00184538"/>
    <w:rsid w:val="001B224C"/>
    <w:rsid w:val="001D200A"/>
    <w:rsid w:val="00200887"/>
    <w:rsid w:val="0020232F"/>
    <w:rsid w:val="00254930"/>
    <w:rsid w:val="002B799B"/>
    <w:rsid w:val="00317D78"/>
    <w:rsid w:val="0036675A"/>
    <w:rsid w:val="003C404C"/>
    <w:rsid w:val="00406579"/>
    <w:rsid w:val="004213F3"/>
    <w:rsid w:val="004D39DD"/>
    <w:rsid w:val="004E51A0"/>
    <w:rsid w:val="005C0199"/>
    <w:rsid w:val="005E5ACF"/>
    <w:rsid w:val="0062055C"/>
    <w:rsid w:val="006313D8"/>
    <w:rsid w:val="006A2DEB"/>
    <w:rsid w:val="0071429E"/>
    <w:rsid w:val="007648A9"/>
    <w:rsid w:val="007659D8"/>
    <w:rsid w:val="007D4810"/>
    <w:rsid w:val="00856182"/>
    <w:rsid w:val="008659E1"/>
    <w:rsid w:val="00876B5F"/>
    <w:rsid w:val="008855FE"/>
    <w:rsid w:val="008B2C1B"/>
    <w:rsid w:val="008D5C4F"/>
    <w:rsid w:val="00927AFE"/>
    <w:rsid w:val="0096005D"/>
    <w:rsid w:val="00AD4CE7"/>
    <w:rsid w:val="00AD734D"/>
    <w:rsid w:val="00AE7BCF"/>
    <w:rsid w:val="00B47EF8"/>
    <w:rsid w:val="00B94211"/>
    <w:rsid w:val="00BF1B95"/>
    <w:rsid w:val="00C82835"/>
    <w:rsid w:val="00CB165E"/>
    <w:rsid w:val="00CC5C78"/>
    <w:rsid w:val="00D2387D"/>
    <w:rsid w:val="00D93DBD"/>
    <w:rsid w:val="00DF3EF5"/>
    <w:rsid w:val="00E3443C"/>
    <w:rsid w:val="00E52034"/>
    <w:rsid w:val="00E676AC"/>
    <w:rsid w:val="00E6784C"/>
    <w:rsid w:val="00EE09B2"/>
    <w:rsid w:val="00EF0182"/>
    <w:rsid w:val="00F127AB"/>
    <w:rsid w:val="00F75D8F"/>
    <w:rsid w:val="00FB13D5"/>
    <w:rsid w:val="00FF0635"/>
    <w:rsid w:val="00FF2CB5"/>
    <w:rsid w:val="04E45BA3"/>
    <w:rsid w:val="08C15FAE"/>
    <w:rsid w:val="252E759D"/>
    <w:rsid w:val="2E6A1F43"/>
    <w:rsid w:val="4C694663"/>
    <w:rsid w:val="58A64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F3EF5"/>
    <w:rPr>
      <w:sz w:val="18"/>
      <w:szCs w:val="18"/>
    </w:rPr>
  </w:style>
  <w:style w:type="paragraph" w:styleId="a4">
    <w:name w:val="footer"/>
    <w:basedOn w:val="a"/>
    <w:link w:val="Char0"/>
    <w:uiPriority w:val="99"/>
    <w:unhideWhenUsed/>
    <w:qFormat/>
    <w:rsid w:val="00DF3EF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F3EF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F3E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F3EF5"/>
    <w:pPr>
      <w:ind w:firstLineChars="200" w:firstLine="420"/>
    </w:pPr>
  </w:style>
  <w:style w:type="character" w:customStyle="1" w:styleId="Char">
    <w:name w:val="批注框文本 Char"/>
    <w:basedOn w:val="a0"/>
    <w:link w:val="a3"/>
    <w:uiPriority w:val="99"/>
    <w:semiHidden/>
    <w:qFormat/>
    <w:rsid w:val="00DF3EF5"/>
    <w:rPr>
      <w:rFonts w:ascii="Times New Roman" w:eastAsia="宋体" w:hAnsi="Times New Roman" w:cs="Times New Roman"/>
      <w:sz w:val="18"/>
      <w:szCs w:val="18"/>
    </w:rPr>
  </w:style>
  <w:style w:type="character" w:customStyle="1" w:styleId="Char1">
    <w:name w:val="页眉 Char"/>
    <w:basedOn w:val="a0"/>
    <w:link w:val="a5"/>
    <w:uiPriority w:val="99"/>
    <w:qFormat/>
    <w:rsid w:val="00DF3EF5"/>
    <w:rPr>
      <w:rFonts w:ascii="Times New Roman" w:eastAsia="宋体" w:hAnsi="Times New Roman" w:cs="Times New Roman"/>
      <w:sz w:val="18"/>
      <w:szCs w:val="18"/>
    </w:rPr>
  </w:style>
  <w:style w:type="character" w:customStyle="1" w:styleId="Char0">
    <w:name w:val="页脚 Char"/>
    <w:basedOn w:val="a0"/>
    <w:link w:val="a4"/>
    <w:uiPriority w:val="99"/>
    <w:qFormat/>
    <w:rsid w:val="00DF3E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305</Words>
  <Characters>1741</Characters>
  <Application>Microsoft Office Word</Application>
  <DocSecurity>0</DocSecurity>
  <Lines>14</Lines>
  <Paragraphs>4</Paragraphs>
  <ScaleCrop>false</ScaleCrop>
  <Company>Chinese ORG</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陈建刚</dc:creator>
  <cp:lastModifiedBy>采购中心意见</cp:lastModifiedBy>
  <cp:revision>29</cp:revision>
  <cp:lastPrinted>2017-06-07T03:46:00Z</cp:lastPrinted>
  <dcterms:created xsi:type="dcterms:W3CDTF">2017-05-31T00:58:00Z</dcterms:created>
  <dcterms:modified xsi:type="dcterms:W3CDTF">2017-06-13T01:17:00Z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